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23A227" w14:textId="7EC7EE8E" w:rsidR="009130D0" w:rsidRDefault="009130D0" w:rsidP="009130D0">
      <w:pPr>
        <w:pStyle w:val="Title"/>
      </w:pPr>
      <w:r>
        <w:t xml:space="preserve">Aging Peer Action Learning </w:t>
      </w:r>
      <w:r w:rsidR="008D51AA">
        <w:t>2026</w:t>
      </w:r>
    </w:p>
    <w:p w14:paraId="4548DB29" w14:textId="2FA58381" w:rsidR="008D51AA" w:rsidRDefault="008D51AA" w:rsidP="008D51AA">
      <w:pPr>
        <w:pStyle w:val="Subtitle"/>
      </w:pPr>
      <w:r>
        <w:t>Presenter Biographies</w:t>
      </w:r>
    </w:p>
    <w:p w14:paraId="361987C3" w14:textId="77777777" w:rsidR="008D51AA" w:rsidRDefault="008D51AA" w:rsidP="008D51AA">
      <w:pPr>
        <w:pStyle w:val="Heading1"/>
        <w:rPr>
          <w:bCs/>
        </w:rPr>
      </w:pPr>
      <w:r w:rsidRPr="00DE3E51">
        <w:rPr>
          <w:b w:val="0"/>
          <w:bCs/>
        </w:rPr>
        <w:t>Session 1</w:t>
      </w:r>
      <w:r>
        <w:t xml:space="preserve"> - </w:t>
      </w:r>
      <w:r w:rsidRPr="00DE3E51">
        <w:rPr>
          <w:bCs/>
        </w:rPr>
        <w:t>The Landscape of Assistive Technology (AT) and Older Adults</w:t>
      </w:r>
    </w:p>
    <w:p w14:paraId="13E5AD84" w14:textId="77777777" w:rsidR="00DE3E51" w:rsidRPr="00DE3E51" w:rsidRDefault="00DE3E51" w:rsidP="00DE3E51"/>
    <w:p w14:paraId="20C9993C" w14:textId="77777777" w:rsidR="008D51AA" w:rsidRPr="004362AA" w:rsidRDefault="008D51AA" w:rsidP="008D51AA">
      <w:r w:rsidRPr="008D51AA">
        <w:rPr>
          <w:b/>
          <w:bCs/>
        </w:rPr>
        <w:t>C. Marty Exline</w:t>
      </w:r>
      <w:r>
        <w:t xml:space="preserve"> is the </w:t>
      </w:r>
      <w:r w:rsidRPr="004362AA">
        <w:t>Technical Assistance and Training Lead</w:t>
      </w:r>
      <w:r>
        <w:t xml:space="preserve"> for the AT3 Center.  </w:t>
      </w:r>
      <w:r w:rsidRPr="004362AA">
        <w:t xml:space="preserve">Marty has over 30 years of administrative experience in disability services including 23 years with the Missouri Assistive Technology program. As Director of the Missouri program, he was directly responsible for implementation of all state AT program activities. Marty’s expertise also includes community living and implementation of the ADA as well as AT policy and funding knowledge </w:t>
      </w:r>
      <w:r>
        <w:t>as well as</w:t>
      </w:r>
      <w:r w:rsidRPr="004362AA">
        <w:t xml:space="preserve"> i</w:t>
      </w:r>
      <w:r>
        <w:t xml:space="preserve">n </w:t>
      </w:r>
      <w:r w:rsidRPr="004362AA">
        <w:t>the areas of Medicaid, Medicaid waivers, and health insurance.</w:t>
      </w:r>
    </w:p>
    <w:p w14:paraId="4D79145D" w14:textId="70E62419" w:rsidR="00F04838" w:rsidRDefault="008D51AA" w:rsidP="008D51AA">
      <w:r>
        <w:rPr>
          <w:noProof/>
        </w:rPr>
        <mc:AlternateContent>
          <mc:Choice Requires="wps">
            <w:drawing>
              <wp:anchor distT="0" distB="0" distL="114300" distR="114300" simplePos="0" relativeHeight="251659264" behindDoc="0" locked="0" layoutInCell="1" allowOverlap="1" wp14:anchorId="4803C439" wp14:editId="121E3F0E">
                <wp:simplePos x="0" y="0"/>
                <wp:positionH relativeFrom="column">
                  <wp:posOffset>38099</wp:posOffset>
                </wp:positionH>
                <wp:positionV relativeFrom="paragraph">
                  <wp:posOffset>103505</wp:posOffset>
                </wp:positionV>
                <wp:extent cx="5629275" cy="0"/>
                <wp:effectExtent l="0" t="0" r="0" b="0"/>
                <wp:wrapNone/>
                <wp:docPr id="423502901" name="Straight Connector 1"/>
                <wp:cNvGraphicFramePr/>
                <a:graphic xmlns:a="http://schemas.openxmlformats.org/drawingml/2006/main">
                  <a:graphicData uri="http://schemas.microsoft.com/office/word/2010/wordprocessingShape">
                    <wps:wsp>
                      <wps:cNvCnPr/>
                      <wps:spPr>
                        <a:xfrm>
                          <a:off x="0" y="0"/>
                          <a:ext cx="56292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D0ACD4E"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pt,8.15pt" to="446.25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" strokecolor="#156082 [3204]" strokeweight=".5pt">
                <v:stroke joinstyle="miter"/>
              </v:line>
            </w:pict>
          </mc:Fallback>
        </mc:AlternateContent>
      </w:r>
    </w:p>
    <w:p w14:paraId="7A029A3B" w14:textId="77777777" w:rsidR="008D51AA" w:rsidRDefault="008D51AA" w:rsidP="008D51AA">
      <w:r w:rsidRPr="008D51AA">
        <w:rPr>
          <w:b/>
          <w:bCs/>
        </w:rPr>
        <w:t>Jeannie Krull</w:t>
      </w:r>
      <w:r>
        <w:t xml:space="preserve"> is the Executive Director of ATAP, the National Association of Assistive Technology Act Programs. ATAP plays a crucial role in supporting a nationwide network of Assistive Technology Programs, which help individuals with disabilities, caregivers, and professionals access essential assistive technology (AT) for education, employment, and independent living.</w:t>
      </w:r>
    </w:p>
    <w:p w14:paraId="50E3C943" w14:textId="77777777" w:rsidR="008D51AA" w:rsidRDefault="008D51AA" w:rsidP="008D51AA">
      <w:r>
        <w:t xml:space="preserve">Since 1991, Ms. Krull has worked in the field of AT with people of all ages and disabilities. She spent the first part of her career working for a private practice as a speech-language pathologist. From 2000 to 2025, she worked for the North Dakota AT Act program. Her work focused on changing systems, educating, advocating, and helping people with disabilities find life-changing AT to help them live, learn, work, and thrive. </w:t>
      </w:r>
    </w:p>
    <w:p w14:paraId="4DACE4AF" w14:textId="77777777" w:rsidR="008D51AA" w:rsidRDefault="008D51AA" w:rsidP="008D51AA">
      <w:r>
        <w:t>Most recently, she helped to bring AT to the ND Medicaid Waivers and Money Follows the Person Program and refine the assessment process and AT device acquisition within these programs.</w:t>
      </w:r>
    </w:p>
    <w:p w14:paraId="7CCDE324" w14:textId="77777777" w:rsidR="008D51AA" w:rsidRPr="00156DE0" w:rsidRDefault="008D51AA" w:rsidP="008D51AA">
      <w:r>
        <w:lastRenderedPageBreak/>
        <w:t>In addition, she is a 2019 Bush Foundation Fellow, past Chair of the Board of ATAP, and an ATIA Aging Strand Advisor. Jeannie also sits on the USAging/ACL Commit to Connect Advisory Committee and the advisory boards of the American Institutes for Research (AIR) and the TechSAge RERC.</w:t>
      </w:r>
    </w:p>
    <w:p w14:paraId="018FC68E" w14:textId="77777777" w:rsidR="008D51AA" w:rsidRDefault="008D51AA" w:rsidP="008D51AA">
      <w:r>
        <w:rPr>
          <w:noProof/>
        </w:rPr>
        <w:drawing>
          <wp:inline distT="0" distB="0" distL="0" distR="0" wp14:anchorId="03C0ED69" wp14:editId="1B6094FD">
            <wp:extent cx="5639435" cy="6350"/>
            <wp:effectExtent l="0" t="0" r="0" b="0"/>
            <wp:docPr id="182677388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39435" cy="6350"/>
                    </a:xfrm>
                    <a:prstGeom prst="rect">
                      <a:avLst/>
                    </a:prstGeom>
                    <a:noFill/>
                  </pic:spPr>
                </pic:pic>
              </a:graphicData>
            </a:graphic>
          </wp:inline>
        </w:drawing>
      </w:r>
    </w:p>
    <w:p w14:paraId="12005F7F" w14:textId="37C203C3" w:rsidR="00F04838" w:rsidRDefault="00F04838" w:rsidP="008D51AA">
      <w:r w:rsidRPr="008D51AA">
        <w:rPr>
          <w:b/>
          <w:bCs/>
        </w:rPr>
        <w:t>Heather Marriott</w:t>
      </w:r>
      <w:r>
        <w:t xml:space="preserve"> is a program specialist at the National Council on Aging’s Center for Healthy Aging. She joined the team in 2022 to manage the ACL funded Vaccine Uptake Initiative. Heather provides technical assistance to grantees through the Chronic Disease Self-Management and Falls Prevention Resource Centers, as well as the ACL Falls Innovation Lab. She works to expand and engage NCOA’s National Institute of Senior Centers. </w:t>
      </w:r>
      <w:r w:rsidR="005378FB">
        <w:t>Heather came to NCOA from a local transportation advocacy organization back home in Missouri, where she served as the Community Engagement Director, leading the organization’s community-based initiatives.</w:t>
      </w:r>
    </w:p>
    <w:p w14:paraId="417157B9" w14:textId="2A73DA21" w:rsidR="009130D0" w:rsidRDefault="008D51AA" w:rsidP="008D51AA">
      <w:r>
        <w:rPr>
          <w:noProof/>
        </w:rPr>
        <w:drawing>
          <wp:inline distT="0" distB="0" distL="0" distR="0" wp14:anchorId="17B17D7E" wp14:editId="3B078486">
            <wp:extent cx="5639435" cy="6350"/>
            <wp:effectExtent l="0" t="0" r="0" b="0"/>
            <wp:docPr id="9452946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39435" cy="6350"/>
                    </a:xfrm>
                    <a:prstGeom prst="rect">
                      <a:avLst/>
                    </a:prstGeom>
                    <a:noFill/>
                  </pic:spPr>
                </pic:pic>
              </a:graphicData>
            </a:graphic>
          </wp:inline>
        </w:drawing>
      </w:r>
    </w:p>
    <w:p w14:paraId="74A00D81" w14:textId="2301BC90" w:rsidR="009130D0" w:rsidRDefault="009130D0" w:rsidP="008D51AA">
      <w:r w:rsidRPr="008D51AA">
        <w:rPr>
          <w:b/>
          <w:bCs/>
        </w:rPr>
        <w:t>Emily Nabors</w:t>
      </w:r>
      <w:r>
        <w:t xml:space="preserve"> is the Associate Director of Innovation at the National Council on Aging. In the field of falls prevention for over 15 years, she has conducted applied research, developed tools and educational materials, and provided professional training on falls prevention and home modification to support community living. She has extensive experience in building cross-sector coalitions and partnerships, and she manages projects including the ACL Innovation Lab, the National Falls Prevention Fellowship, and a grant to support the development of state falls prevention coalitions. Previously, Emily was Program Manager of the Fall Prevention Center of Excellence at the University of Southern California (USC) Leonard Davis School of Gerontology. She has a Master of Science degree in Gerontology from the Leonard Davis School of Gerontology.</w:t>
      </w:r>
    </w:p>
    <w:p w14:paraId="49EBA4C0" w14:textId="2AA08406" w:rsidR="009130D0" w:rsidRDefault="008D51AA" w:rsidP="008D51AA">
      <w:r>
        <w:rPr>
          <w:noProof/>
        </w:rPr>
        <w:drawing>
          <wp:inline distT="0" distB="0" distL="0" distR="0" wp14:anchorId="31A4797D" wp14:editId="7D1F08C6">
            <wp:extent cx="5639435" cy="6350"/>
            <wp:effectExtent l="0" t="0" r="0" b="0"/>
            <wp:docPr id="20113181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39435" cy="6350"/>
                    </a:xfrm>
                    <a:prstGeom prst="rect">
                      <a:avLst/>
                    </a:prstGeom>
                    <a:noFill/>
                  </pic:spPr>
                </pic:pic>
              </a:graphicData>
            </a:graphic>
          </wp:inline>
        </w:drawing>
      </w:r>
    </w:p>
    <w:p w14:paraId="2C5FC909" w14:textId="77777777" w:rsidR="008D51AA" w:rsidRDefault="008D51AA" w:rsidP="008D51AA">
      <w:r w:rsidRPr="008D51AA">
        <w:rPr>
          <w:b/>
          <w:bCs/>
        </w:rPr>
        <w:t>Holly Riley</w:t>
      </w:r>
      <w:r>
        <w:t xml:space="preserve">, Director of Aging Services for Advancing States, oversees the associations No Wrong Door technical assistance efforts including Person Centered Options Counseling. Holly supports the association’s training and technical assistance efforts related to the Older Americans Act and provides policy and legislative analyses and support on Multisector Plans on Aging and Evidence Based Program development. Previously, Holly served as the </w:t>
      </w:r>
      <w:r>
        <w:lastRenderedPageBreak/>
        <w:t>director of Aging Services Coordination for the Texas Health and Human Services Commission and worked for the Texas State Unit on Aging for over 25 years. In that role, she oversaw the development of dynamic public-private partnerships to support the state’s aging programs, the establishment of robust statewide marketing campaigns to educate Texans on healthy aging, the development of the internationally recognized Texercise program, and provided subject matter expertise to the commissions aging services and programs.</w:t>
      </w:r>
    </w:p>
    <w:p w14:paraId="65638D73" w14:textId="108C6961" w:rsidR="008D51AA" w:rsidRDefault="008D51AA" w:rsidP="008D51AA">
      <w:pPr>
        <w:rPr>
          <w:b/>
          <w:bCs/>
          <w:color w:val="222222"/>
          <w:shd w:val="clear" w:color="auto" w:fill="FFFFFF"/>
        </w:rPr>
      </w:pPr>
      <w:r>
        <w:rPr>
          <w:b/>
          <w:bCs/>
          <w:noProof/>
          <w:color w:val="222222"/>
          <w:shd w:val="clear" w:color="auto" w:fill="FFFFFF"/>
        </w:rPr>
        <w:drawing>
          <wp:inline distT="0" distB="0" distL="0" distR="0" wp14:anchorId="0C22D2BC" wp14:editId="1663DFC6">
            <wp:extent cx="5639435" cy="6350"/>
            <wp:effectExtent l="0" t="0" r="0" b="0"/>
            <wp:docPr id="81737136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639435" cy="6350"/>
                    </a:xfrm>
                    <a:prstGeom prst="rect">
                      <a:avLst/>
                    </a:prstGeom>
                    <a:noFill/>
                  </pic:spPr>
                </pic:pic>
              </a:graphicData>
            </a:graphic>
          </wp:inline>
        </w:drawing>
      </w:r>
    </w:p>
    <w:p w14:paraId="145C4971" w14:textId="75B3556C" w:rsidR="009130D0" w:rsidRPr="008D51AA" w:rsidRDefault="009130D0" w:rsidP="008D51AA">
      <w:pPr>
        <w:rPr>
          <w:color w:val="222222"/>
          <w:shd w:val="clear" w:color="auto" w:fill="FFFFFF"/>
        </w:rPr>
      </w:pPr>
      <w:r w:rsidRPr="008D51AA">
        <w:rPr>
          <w:b/>
          <w:bCs/>
          <w:color w:val="222222"/>
          <w:shd w:val="clear" w:color="auto" w:fill="FFFFFF"/>
        </w:rPr>
        <w:t>Andrea Routh</w:t>
      </w:r>
      <w:r w:rsidRPr="008D51AA">
        <w:rPr>
          <w:color w:val="222222"/>
          <w:shd w:val="clear" w:color="auto" w:fill="FFFFFF"/>
        </w:rPr>
        <w:t xml:space="preserve"> is founder of </w:t>
      </w:r>
      <w:r w:rsidRPr="008D51AA">
        <w:rPr>
          <w:i/>
          <w:iCs/>
          <w:color w:val="222222"/>
          <w:shd w:val="clear" w:color="auto" w:fill="FFFFFF"/>
        </w:rPr>
        <w:t>The Leading Impact</w:t>
      </w:r>
      <w:r w:rsidRPr="008D51AA">
        <w:rPr>
          <w:color w:val="222222"/>
          <w:shd w:val="clear" w:color="auto" w:fill="FFFFFF"/>
        </w:rPr>
        <w:t>, </w:t>
      </w:r>
      <w:r w:rsidRPr="008D51AA">
        <w:rPr>
          <w:i/>
          <w:iCs/>
          <w:color w:val="222222"/>
          <w:shd w:val="clear" w:color="auto" w:fill="FFFFFF"/>
        </w:rPr>
        <w:t>LLC, </w:t>
      </w:r>
      <w:r w:rsidRPr="008D51AA">
        <w:rPr>
          <w:color w:val="222222"/>
          <w:shd w:val="clear" w:color="auto" w:fill="FFFFFF"/>
        </w:rPr>
        <w:t xml:space="preserve">where she serves as coach, strategic thought partner, and advisor for non-profit executives; empowering and supporting them as they make big impacts in their communities and the world.  She is also an organizational consultant with 30+ years of experience in executive management, strategic leadership, board development, facilitation, community outreach, community engagement, and advocacy.  </w:t>
      </w:r>
    </w:p>
    <w:p w14:paraId="337A3D2F" w14:textId="77777777" w:rsidR="009130D0" w:rsidRPr="008D51AA" w:rsidRDefault="009130D0" w:rsidP="008D51AA">
      <w:pPr>
        <w:rPr>
          <w:color w:val="222222"/>
          <w:shd w:val="clear" w:color="auto" w:fill="FFFFFF"/>
        </w:rPr>
      </w:pPr>
      <w:r w:rsidRPr="008D51AA">
        <w:rPr>
          <w:color w:val="222222"/>
          <w:shd w:val="clear" w:color="auto" w:fill="FFFFFF"/>
        </w:rPr>
        <w:t>Andrea works to educate the public about trauma, toxic stress, and Adverse Childhood Experiences (ACE's), recently launching a virtual course to teach the basics of trauma, resilience and self-regulation to a wide audience.  She has helped communities and organizations become trauma-aware and trauma-informed in Missouri, Kansas, and Florida. In 2022-2023, Andrea led a team of facilitators and trainers who worked with four organizations that provide affordable housing and services to at-risk families and individuals in Sarasota County, FL, assisting those agencies in their journeys to become trauma-informed organizations. She has provided training on trauma and resilience and facilitated two Trauma-informed learning collaboratives for organizations in Manatee and Sarasota Counties in Florida.</w:t>
      </w:r>
    </w:p>
    <w:p w14:paraId="7389F256" w14:textId="09F954D3" w:rsidR="009130D0" w:rsidRPr="008D51AA" w:rsidRDefault="009130D0" w:rsidP="008D51AA">
      <w:pPr>
        <w:rPr>
          <w:color w:val="222222"/>
          <w:shd w:val="clear" w:color="auto" w:fill="FFFFFF"/>
        </w:rPr>
      </w:pPr>
      <w:r w:rsidRPr="008D51AA">
        <w:rPr>
          <w:color w:val="222222"/>
          <w:shd w:val="clear" w:color="auto" w:fill="FFFFFF"/>
        </w:rPr>
        <w:t>In January</w:t>
      </w:r>
      <w:r w:rsidR="008D51AA">
        <w:rPr>
          <w:color w:val="222222"/>
          <w:shd w:val="clear" w:color="auto" w:fill="FFFFFF"/>
        </w:rPr>
        <w:t xml:space="preserve"> </w:t>
      </w:r>
      <w:r w:rsidRPr="008D51AA">
        <w:rPr>
          <w:color w:val="222222"/>
          <w:shd w:val="clear" w:color="auto" w:fill="FFFFFF"/>
        </w:rPr>
        <w:t xml:space="preserve">2018, Andrea became active with SRQ Strong, a nonprofit seeking to increase trauma awareness and build communities that care for themselves throughout the Florida Suncoast. She served as co-chair of the Aging and Resilience Committee for 4 years and served as Secretary/Treasurer of the board of directors for 2 years.  Recently, as a volunteer for SRQ Strong, she has been helping to design and co-facilitate community healing and trauma education conversations for those impacted by Hurricanes Helene and Milton. </w:t>
      </w:r>
    </w:p>
    <w:p w14:paraId="0E22CB46" w14:textId="77777777" w:rsidR="009130D0" w:rsidRPr="008D51AA" w:rsidRDefault="009130D0" w:rsidP="008D51AA">
      <w:pPr>
        <w:rPr>
          <w:rFonts w:cstheme="minorHAnsi"/>
        </w:rPr>
      </w:pPr>
      <w:r w:rsidRPr="008D51AA">
        <w:rPr>
          <w:rFonts w:cstheme="minorHAnsi"/>
        </w:rPr>
        <w:lastRenderedPageBreak/>
        <w:t xml:space="preserve">Andrea also works with TeamTech, LLC, a facilitation firm in the Kansas City area.  Through TeamTech, she provides facilitation services and trauma-informed leadership development for organizations in Kansas, Missouri and Florida.  She is certified by TeamTech to teach its trauma-informed facilitative leadership course called </w:t>
      </w:r>
      <w:r w:rsidRPr="008D51AA">
        <w:rPr>
          <w:rFonts w:cstheme="minorHAnsi"/>
          <w:i/>
          <w:iCs/>
        </w:rPr>
        <w:t>Everyone A Leader</w:t>
      </w:r>
      <w:r w:rsidRPr="008D51AA">
        <w:rPr>
          <w:rFonts w:cstheme="minorHAnsi"/>
        </w:rPr>
        <w:t>®.</w:t>
      </w:r>
    </w:p>
    <w:p w14:paraId="67DD03FC" w14:textId="77777777" w:rsidR="009130D0" w:rsidRPr="008D51AA" w:rsidRDefault="009130D0" w:rsidP="008D51AA">
      <w:pPr>
        <w:rPr>
          <w:color w:val="222222"/>
          <w:shd w:val="clear" w:color="auto" w:fill="FFFFFF"/>
        </w:rPr>
      </w:pPr>
      <w:r w:rsidRPr="008D51AA">
        <w:rPr>
          <w:color w:val="222222"/>
          <w:shd w:val="clear" w:color="auto" w:fill="FFFFFF"/>
        </w:rPr>
        <w:t xml:space="preserve">Andrea served as Executive Director for three non-profit health care-related organizations in Missouri and Kansas from 2007 to 2020.  </w:t>
      </w:r>
    </w:p>
    <w:p w14:paraId="24EEC64C" w14:textId="77777777" w:rsidR="009130D0" w:rsidRPr="008D51AA" w:rsidRDefault="009130D0" w:rsidP="008D51AA">
      <w:pPr>
        <w:rPr>
          <w:color w:val="222222"/>
          <w:shd w:val="clear" w:color="auto" w:fill="FFFFFF"/>
        </w:rPr>
      </w:pPr>
      <w:r w:rsidRPr="008D51AA">
        <w:rPr>
          <w:color w:val="222222"/>
          <w:shd w:val="clear" w:color="auto" w:fill="FFFFFF"/>
        </w:rPr>
        <w:t xml:space="preserve">Andrea is an attorney with 35 years experience in health policy and aging issues.  She served in research, policy, and senior management positions in Missouri state government, including two years as Governor Mel Carnahan’s Director of Policy Development and later as the Director of the Missouri Division of Aging.  </w:t>
      </w:r>
    </w:p>
    <w:p w14:paraId="080A75F7" w14:textId="49231FFF" w:rsidR="009130D0" w:rsidRDefault="008D51AA" w:rsidP="008D51AA">
      <w:r>
        <w:rPr>
          <w:noProof/>
        </w:rPr>
        <w:drawing>
          <wp:inline distT="0" distB="0" distL="0" distR="0" wp14:anchorId="20979340" wp14:editId="03C8CB12">
            <wp:extent cx="5639435" cy="6350"/>
            <wp:effectExtent l="0" t="0" r="0" b="0"/>
            <wp:docPr id="209817769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39435" cy="6350"/>
                    </a:xfrm>
                    <a:prstGeom prst="rect">
                      <a:avLst/>
                    </a:prstGeom>
                    <a:noFill/>
                  </pic:spPr>
                </pic:pic>
              </a:graphicData>
            </a:graphic>
          </wp:inline>
        </w:drawing>
      </w:r>
    </w:p>
    <w:p w14:paraId="5DD11F2F" w14:textId="77777777" w:rsidR="009130D0" w:rsidRDefault="009130D0" w:rsidP="008D51AA">
      <w:pPr>
        <w:rPr>
          <w:rFonts w:cs="Arial"/>
        </w:rPr>
      </w:pPr>
      <w:r w:rsidRPr="008D51AA">
        <w:rPr>
          <w:rFonts w:cs="Arial"/>
          <w:b/>
          <w:bCs/>
        </w:rPr>
        <w:t>Deborah Stone-Walls</w:t>
      </w:r>
      <w:r w:rsidRPr="008D51AA">
        <w:rPr>
          <w:rFonts w:cs="Arial"/>
        </w:rPr>
        <w:t xml:space="preserve"> serves as the USAging Chief of Programs and Services to oversee the wide spectrum of USAging initiatives. Prior to joining the staff of USAging Deborah served on the USAging Board of Directors from 2009 to 2018 and as the Board president from 2018 to 2021. From 2008 to 2021 she held the position of Executive on Aging for the Maui County Office on Aging/Aging and Disability Resource Center. In her more than 30 years as a practitioner and administrator in the field of human services, Deborah served older adults, individuals of all ages with disabilities, and family caregivers with passion and a commitment to improving overall quality of life. </w:t>
      </w:r>
    </w:p>
    <w:p w14:paraId="0D65689D" w14:textId="066B0E81" w:rsidR="00B92899" w:rsidRPr="008D51AA" w:rsidRDefault="00B92899" w:rsidP="008D51AA">
      <w:pPr>
        <w:rPr>
          <w:rFonts w:cs="Arial"/>
        </w:rPr>
      </w:pPr>
      <w:r>
        <w:rPr>
          <w:noProof/>
        </w:rPr>
        <w:drawing>
          <wp:inline distT="0" distB="0" distL="0" distR="0" wp14:anchorId="54181892" wp14:editId="3B736B3C">
            <wp:extent cx="5639435" cy="6350"/>
            <wp:effectExtent l="0" t="0" r="0" b="0"/>
            <wp:docPr id="3375113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39435" cy="6350"/>
                    </a:xfrm>
                    <a:prstGeom prst="rect">
                      <a:avLst/>
                    </a:prstGeom>
                    <a:noFill/>
                  </pic:spPr>
                </pic:pic>
              </a:graphicData>
            </a:graphic>
          </wp:inline>
        </w:drawing>
      </w:r>
    </w:p>
    <w:p w14:paraId="02BFD24C" w14:textId="77777777" w:rsidR="00B92899" w:rsidRPr="00B92899" w:rsidRDefault="00B92899" w:rsidP="00B92899">
      <w:r w:rsidRPr="00B92899">
        <w:rPr>
          <w:b/>
          <w:bCs/>
        </w:rPr>
        <w:t>Arlene Lugo, ATP</w:t>
      </w:r>
      <w:r w:rsidRPr="00B92899">
        <w:t xml:space="preserve">, is the Program Director for the CT Tech Act Project and Assistive Technology Consultant for the Bureau of Rehabilitation Services. She has Degrees in Deaf Studies and Interpreting, English and Professional Counseling/Vocational Rehabilitation. </w:t>
      </w:r>
    </w:p>
    <w:p w14:paraId="18FF5998" w14:textId="4C9C3DE2" w:rsidR="009130D0" w:rsidRDefault="00B92899" w:rsidP="008D51AA">
      <w:r w:rsidRPr="00B92899">
        <w:t>Ms. Lugo began her career nearly 30 years ago as a sign language interpreter prior to becoming a Vocational Rehabilitation Counselor for the Connecticut Bureau of Rehabilitation Services. In 2006, she was promoted to Education Consultant for the Bureau and became the Program Director for the Connecticut Tech Act</w:t>
      </w:r>
      <w:r w:rsidRPr="00B92899">
        <w:rPr>
          <w:b/>
          <w:bCs/>
        </w:rPr>
        <w:t xml:space="preserve"> </w:t>
      </w:r>
      <w:r w:rsidRPr="00B92899">
        <w:t xml:space="preserve">Project, where she helps individuals with disabilities access Assistive Technology (AT) for all areas of life. She oversees several </w:t>
      </w:r>
      <w:r w:rsidRPr="00B92899">
        <w:lastRenderedPageBreak/>
        <w:t>grants, in addition to providing direct services to individuals with disabilities and older adults.</w:t>
      </w:r>
    </w:p>
    <w:sectPr w:rsidR="009130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24B6"/>
    <w:rsid w:val="00034C4F"/>
    <w:rsid w:val="000920BF"/>
    <w:rsid w:val="001E03F9"/>
    <w:rsid w:val="003B4905"/>
    <w:rsid w:val="003F72CC"/>
    <w:rsid w:val="00496BBA"/>
    <w:rsid w:val="005378FB"/>
    <w:rsid w:val="007671DD"/>
    <w:rsid w:val="008D51AA"/>
    <w:rsid w:val="009130D0"/>
    <w:rsid w:val="00B624B6"/>
    <w:rsid w:val="00B92899"/>
    <w:rsid w:val="00D64884"/>
    <w:rsid w:val="00DE3E51"/>
    <w:rsid w:val="00EC526E"/>
    <w:rsid w:val="00F048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7AC39"/>
  <w15:chartTrackingRefBased/>
  <w15:docId w15:val="{3336DF4A-871E-42AF-B944-8628B3FB5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51AA"/>
    <w:rPr>
      <w:rFonts w:ascii="Verdana" w:hAnsi="Verdana"/>
    </w:rPr>
  </w:style>
  <w:style w:type="paragraph" w:styleId="Heading1">
    <w:name w:val="heading 1"/>
    <w:basedOn w:val="Normal"/>
    <w:next w:val="Normal"/>
    <w:link w:val="Heading1Char"/>
    <w:uiPriority w:val="9"/>
    <w:qFormat/>
    <w:rsid w:val="00DE3E51"/>
    <w:pPr>
      <w:keepNext/>
      <w:keepLines/>
      <w:spacing w:before="360" w:after="80"/>
      <w:outlineLvl w:val="0"/>
    </w:pPr>
    <w:rPr>
      <w:rFonts w:eastAsiaTheme="majorEastAsia" w:cstheme="majorBidi"/>
      <w:b/>
      <w:sz w:val="28"/>
      <w:szCs w:val="40"/>
    </w:rPr>
  </w:style>
  <w:style w:type="paragraph" w:styleId="Heading2">
    <w:name w:val="heading 2"/>
    <w:basedOn w:val="Normal"/>
    <w:next w:val="Normal"/>
    <w:link w:val="Heading2Char"/>
    <w:uiPriority w:val="9"/>
    <w:semiHidden/>
    <w:unhideWhenUsed/>
    <w:qFormat/>
    <w:rsid w:val="00B624B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624B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624B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624B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624B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24B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624B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24B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3E51"/>
    <w:rPr>
      <w:rFonts w:ascii="Verdana" w:eastAsiaTheme="majorEastAsia" w:hAnsi="Verdana" w:cstheme="majorBidi"/>
      <w:b/>
      <w:sz w:val="28"/>
      <w:szCs w:val="40"/>
    </w:rPr>
  </w:style>
  <w:style w:type="character" w:customStyle="1" w:styleId="Heading2Char">
    <w:name w:val="Heading 2 Char"/>
    <w:basedOn w:val="DefaultParagraphFont"/>
    <w:link w:val="Heading2"/>
    <w:uiPriority w:val="9"/>
    <w:semiHidden/>
    <w:rsid w:val="00B624B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24B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24B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24B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24B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24B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24B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24B6"/>
    <w:rPr>
      <w:rFonts w:eastAsiaTheme="majorEastAsia" w:cstheme="majorBidi"/>
      <w:color w:val="272727" w:themeColor="text1" w:themeTint="D8"/>
    </w:rPr>
  </w:style>
  <w:style w:type="paragraph" w:styleId="Title">
    <w:name w:val="Title"/>
    <w:basedOn w:val="Normal"/>
    <w:next w:val="Normal"/>
    <w:link w:val="TitleChar"/>
    <w:uiPriority w:val="10"/>
    <w:qFormat/>
    <w:rsid w:val="008D51AA"/>
    <w:pPr>
      <w:spacing w:after="80" w:line="240" w:lineRule="auto"/>
      <w:contextualSpacing/>
    </w:pPr>
    <w:rPr>
      <w:rFonts w:eastAsiaTheme="majorEastAsia" w:cstheme="majorBidi"/>
      <w:b/>
      <w:spacing w:val="-10"/>
      <w:kern w:val="28"/>
      <w:sz w:val="56"/>
      <w:szCs w:val="56"/>
    </w:rPr>
  </w:style>
  <w:style w:type="character" w:customStyle="1" w:styleId="TitleChar">
    <w:name w:val="Title Char"/>
    <w:basedOn w:val="DefaultParagraphFont"/>
    <w:link w:val="Title"/>
    <w:uiPriority w:val="10"/>
    <w:rsid w:val="008D51AA"/>
    <w:rPr>
      <w:rFonts w:ascii="Verdana" w:eastAsiaTheme="majorEastAsia" w:hAnsi="Verdana" w:cstheme="majorBidi"/>
      <w:b/>
      <w:spacing w:val="-10"/>
      <w:kern w:val="28"/>
      <w:sz w:val="56"/>
      <w:szCs w:val="56"/>
    </w:rPr>
  </w:style>
  <w:style w:type="paragraph" w:styleId="Subtitle">
    <w:name w:val="Subtitle"/>
    <w:basedOn w:val="Normal"/>
    <w:next w:val="Normal"/>
    <w:link w:val="SubtitleChar"/>
    <w:uiPriority w:val="11"/>
    <w:qFormat/>
    <w:rsid w:val="008D51AA"/>
    <w:pPr>
      <w:numPr>
        <w:ilvl w:val="1"/>
      </w:numPr>
    </w:pPr>
    <w:rPr>
      <w:rFonts w:eastAsiaTheme="majorEastAsia" w:cstheme="majorBidi"/>
      <w:spacing w:val="15"/>
      <w:sz w:val="48"/>
      <w:szCs w:val="28"/>
    </w:rPr>
  </w:style>
  <w:style w:type="character" w:customStyle="1" w:styleId="SubtitleChar">
    <w:name w:val="Subtitle Char"/>
    <w:basedOn w:val="DefaultParagraphFont"/>
    <w:link w:val="Subtitle"/>
    <w:uiPriority w:val="11"/>
    <w:rsid w:val="008D51AA"/>
    <w:rPr>
      <w:rFonts w:ascii="Verdana" w:eastAsiaTheme="majorEastAsia" w:hAnsi="Verdana" w:cstheme="majorBidi"/>
      <w:spacing w:val="15"/>
      <w:sz w:val="48"/>
      <w:szCs w:val="28"/>
    </w:rPr>
  </w:style>
  <w:style w:type="paragraph" w:styleId="Quote">
    <w:name w:val="Quote"/>
    <w:basedOn w:val="Normal"/>
    <w:next w:val="Normal"/>
    <w:link w:val="QuoteChar"/>
    <w:uiPriority w:val="29"/>
    <w:qFormat/>
    <w:rsid w:val="00B624B6"/>
    <w:pPr>
      <w:spacing w:before="160"/>
      <w:jc w:val="center"/>
    </w:pPr>
    <w:rPr>
      <w:i/>
      <w:iCs/>
      <w:color w:val="404040" w:themeColor="text1" w:themeTint="BF"/>
    </w:rPr>
  </w:style>
  <w:style w:type="character" w:customStyle="1" w:styleId="QuoteChar">
    <w:name w:val="Quote Char"/>
    <w:basedOn w:val="DefaultParagraphFont"/>
    <w:link w:val="Quote"/>
    <w:uiPriority w:val="29"/>
    <w:rsid w:val="00B624B6"/>
    <w:rPr>
      <w:i/>
      <w:iCs/>
      <w:color w:val="404040" w:themeColor="text1" w:themeTint="BF"/>
    </w:rPr>
  </w:style>
  <w:style w:type="paragraph" w:styleId="ListParagraph">
    <w:name w:val="List Paragraph"/>
    <w:basedOn w:val="Normal"/>
    <w:uiPriority w:val="34"/>
    <w:qFormat/>
    <w:rsid w:val="00B624B6"/>
    <w:pPr>
      <w:ind w:left="720"/>
      <w:contextualSpacing/>
    </w:pPr>
  </w:style>
  <w:style w:type="character" w:styleId="IntenseEmphasis">
    <w:name w:val="Intense Emphasis"/>
    <w:basedOn w:val="DefaultParagraphFont"/>
    <w:uiPriority w:val="21"/>
    <w:qFormat/>
    <w:rsid w:val="00B624B6"/>
    <w:rPr>
      <w:i/>
      <w:iCs/>
      <w:color w:val="0F4761" w:themeColor="accent1" w:themeShade="BF"/>
    </w:rPr>
  </w:style>
  <w:style w:type="paragraph" w:styleId="IntenseQuote">
    <w:name w:val="Intense Quote"/>
    <w:basedOn w:val="Normal"/>
    <w:next w:val="Normal"/>
    <w:link w:val="IntenseQuoteChar"/>
    <w:uiPriority w:val="30"/>
    <w:qFormat/>
    <w:rsid w:val="00B624B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624B6"/>
    <w:rPr>
      <w:i/>
      <w:iCs/>
      <w:color w:val="0F4761" w:themeColor="accent1" w:themeShade="BF"/>
    </w:rPr>
  </w:style>
  <w:style w:type="character" w:styleId="IntenseReference">
    <w:name w:val="Intense Reference"/>
    <w:basedOn w:val="DefaultParagraphFont"/>
    <w:uiPriority w:val="32"/>
    <w:qFormat/>
    <w:rsid w:val="00B624B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1264</Words>
  <Characters>7205</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Anderson</dc:creator>
  <cp:keywords/>
  <dc:description/>
  <cp:lastModifiedBy>ATAP Info</cp:lastModifiedBy>
  <cp:revision>3</cp:revision>
  <dcterms:created xsi:type="dcterms:W3CDTF">2025-12-14T21:04:00Z</dcterms:created>
  <dcterms:modified xsi:type="dcterms:W3CDTF">2026-01-14T21:45:00Z</dcterms:modified>
</cp:coreProperties>
</file>